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0AA6766B" w:rsidR="00326634" w:rsidRPr="00326634" w:rsidRDefault="00326634" w:rsidP="00DB2FE1">
      <w:pPr>
        <w:suppressAutoHyphens/>
        <w:spacing w:after="0" w:line="240" w:lineRule="auto"/>
        <w:rPr>
          <w:rFonts w:ascii="Arial" w:eastAsia="Times New Roman" w:hAnsi="Arial" w:cs="Arial"/>
          <w:color w:val="FF0000"/>
          <w:szCs w:val="20"/>
          <w:lang w:eastAsia="zh-CN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8393"/>
      </w:tblGrid>
      <w:tr w:rsidR="00F36F65" w14:paraId="2FB68664" w14:textId="77777777" w:rsidTr="00F36F65">
        <w:tc>
          <w:tcPr>
            <w:tcW w:w="1569" w:type="dxa"/>
          </w:tcPr>
          <w:p w14:paraId="3A0427CE" w14:textId="380965BC" w:rsidR="00F36F65" w:rsidRDefault="002F6F0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5B90AD5C" wp14:editId="5857833A">
                  <wp:simplePos x="0" y="0"/>
                  <wp:positionH relativeFrom="margin">
                    <wp:posOffset>0</wp:posOffset>
                  </wp:positionH>
                  <wp:positionV relativeFrom="page">
                    <wp:posOffset>-635</wp:posOffset>
                  </wp:positionV>
                  <wp:extent cx="775252" cy="76508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CNRS_BLEU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44" cy="770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393" w:type="dxa"/>
            <w:vAlign w:val="center"/>
          </w:tcPr>
          <w:p w14:paraId="27578564" w14:textId="77777777" w:rsidR="002677DF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F36F65">
            <w:pPr>
              <w:suppressAutoHyphens/>
              <w:jc w:val="center"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F36F65">
              <w:rPr>
                <w:rFonts w:eastAsia="Times New Roman" w:cstheme="minorHAnsi"/>
                <w:b/>
                <w:color w:val="2F5496" w:themeColor="accent5" w:themeShade="BF"/>
                <w:sz w:val="32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9C9D73A" w14:textId="77777777" w:rsidR="00326634" w:rsidRPr="00326634" w:rsidRDefault="00326634" w:rsidP="00F36F65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32"/>
          <w:szCs w:val="20"/>
          <w:lang w:eastAsia="zh-CN"/>
        </w:rPr>
      </w:pPr>
    </w:p>
    <w:p w14:paraId="6F5299EB" w14:textId="77777777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bookmarkStart w:id="0" w:name="OLE_LINK1"/>
    <w:p w14:paraId="12AC2F78" w14:textId="036B0230" w:rsidR="00326634" w:rsidRDefault="003B6CBD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 w:rsidRPr="00625BB4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1656185" wp14:editId="708E5439">
                <wp:simplePos x="0" y="0"/>
                <wp:positionH relativeFrom="margin">
                  <wp:posOffset>1743075</wp:posOffset>
                </wp:positionH>
                <wp:positionV relativeFrom="paragraph">
                  <wp:posOffset>220980</wp:posOffset>
                </wp:positionV>
                <wp:extent cx="3086100" cy="1514475"/>
                <wp:effectExtent l="114300" t="76200" r="76200" b="123825"/>
                <wp:wrapNone/>
                <wp:docPr id="5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86100" cy="151447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  <a:softEdge rad="0"/>
                        </a:effectLst>
                        <a:scene3d>
                          <a:camera prst="orthographicFront"/>
                          <a:lightRig rig="freezing" dir="t"/>
                        </a:scene3d>
                        <a:sp3d contourW="12700">
                          <a:contourClr>
                            <a:srgbClr val="5B9BD5">
                              <a:lumMod val="75000"/>
                            </a:srgbClr>
                          </a:contourClr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28BE26" id="Rectangle à coins arrondis 1" o:spid="_x0000_s1026" style="position:absolute;margin-left:137.25pt;margin-top:17.4pt;width:243pt;height:119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" filled="f" strokecolor="#1f4d78 [1604]" strokeweight="1pt">
                <v:stroke joinstyle="miter"/>
                <v:shadow on="t" color="black" opacity="26214f" origin=".5" offset="-3pt,0"/>
                <v:path arrowok="t"/>
                <w10:wrap anchorx="margin"/>
              </v:roundrect>
            </w:pict>
          </mc:Fallback>
        </mc:AlternateContent>
      </w:r>
      <w:bookmarkEnd w:id="0"/>
    </w:p>
    <w:p w14:paraId="1B384BF5" w14:textId="77777777" w:rsidR="00F978A7" w:rsidRDefault="003B6CBD" w:rsidP="003B6CBD">
      <w:pPr>
        <w:jc w:val="center"/>
        <w:rPr>
          <w:rFonts w:cs="Arial"/>
          <w:b/>
          <w:color w:val="2F5496" w:themeColor="accent5" w:themeShade="BF"/>
          <w:sz w:val="32"/>
          <w:szCs w:val="32"/>
        </w:rPr>
      </w:pPr>
      <w:r w:rsidRPr="003B6CBD">
        <w:rPr>
          <w:rFonts w:cs="Arial"/>
          <w:b/>
          <w:color w:val="2F5496" w:themeColor="accent5" w:themeShade="BF"/>
          <w:sz w:val="32"/>
          <w:szCs w:val="32"/>
        </w:rPr>
        <w:t xml:space="preserve">Cadre de </w:t>
      </w:r>
      <w:r w:rsidR="00F978A7">
        <w:rPr>
          <w:rFonts w:cs="Arial"/>
          <w:b/>
          <w:color w:val="2F5496" w:themeColor="accent5" w:themeShade="BF"/>
          <w:sz w:val="32"/>
          <w:szCs w:val="32"/>
        </w:rPr>
        <w:t xml:space="preserve">présentation </w:t>
      </w:r>
    </w:p>
    <w:p w14:paraId="7282D618" w14:textId="344376FB" w:rsidR="003B6CBD" w:rsidRPr="003B6CBD" w:rsidRDefault="00F978A7" w:rsidP="003B6CBD">
      <w:pPr>
        <w:jc w:val="center"/>
        <w:rPr>
          <w:rFonts w:cs="Arial"/>
          <w:b/>
          <w:color w:val="2F5496" w:themeColor="accent5" w:themeShade="BF"/>
          <w:sz w:val="32"/>
          <w:szCs w:val="32"/>
        </w:rPr>
      </w:pPr>
      <w:proofErr w:type="gramStart"/>
      <w:r>
        <w:rPr>
          <w:rFonts w:cs="Arial"/>
          <w:b/>
          <w:color w:val="2F5496" w:themeColor="accent5" w:themeShade="BF"/>
          <w:sz w:val="32"/>
          <w:szCs w:val="32"/>
        </w:rPr>
        <w:t>de</w:t>
      </w:r>
      <w:proofErr w:type="gramEnd"/>
      <w:r>
        <w:rPr>
          <w:rFonts w:cs="Arial"/>
          <w:b/>
          <w:color w:val="2F5496" w:themeColor="accent5" w:themeShade="BF"/>
          <w:sz w:val="32"/>
          <w:szCs w:val="32"/>
        </w:rPr>
        <w:t xml:space="preserve"> la candidature</w:t>
      </w:r>
    </w:p>
    <w:p w14:paraId="205C4384" w14:textId="1CDC5371" w:rsidR="003B6CBD" w:rsidRDefault="003B6CBD" w:rsidP="003B6CBD">
      <w:pPr>
        <w:jc w:val="center"/>
        <w:rPr>
          <w:rFonts w:cs="Arial"/>
          <w:b/>
          <w:i/>
          <w:sz w:val="24"/>
          <w:szCs w:val="24"/>
        </w:rPr>
      </w:pPr>
      <w:r w:rsidRPr="00853714">
        <w:rPr>
          <w:rFonts w:cs="Arial"/>
          <w:b/>
          <w:i/>
          <w:sz w:val="24"/>
          <w:szCs w:val="24"/>
        </w:rPr>
        <w:t>Annexe n</w:t>
      </w:r>
      <w:r w:rsidR="002A57E5">
        <w:rPr>
          <w:rFonts w:cs="Arial"/>
          <w:b/>
          <w:i/>
          <w:sz w:val="24"/>
          <w:szCs w:val="24"/>
        </w:rPr>
        <w:t>° 1</w:t>
      </w:r>
      <w:r w:rsidRPr="00853714">
        <w:rPr>
          <w:rFonts w:cs="Arial"/>
          <w:b/>
          <w:i/>
          <w:sz w:val="24"/>
          <w:szCs w:val="24"/>
        </w:rPr>
        <w:t xml:space="preserve"> </w:t>
      </w:r>
      <w:r w:rsidR="00F978A7">
        <w:rPr>
          <w:rFonts w:cs="Arial"/>
          <w:b/>
          <w:i/>
          <w:sz w:val="24"/>
          <w:szCs w:val="24"/>
        </w:rPr>
        <w:t>au règlement de consultation</w:t>
      </w:r>
    </w:p>
    <w:p w14:paraId="1817070C" w14:textId="20F7EDDB" w:rsidR="002A57E5" w:rsidRPr="002A57E5" w:rsidRDefault="002A57E5" w:rsidP="003B6CBD">
      <w:pPr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>Consultation</w:t>
      </w:r>
      <w:r w:rsidRPr="002A57E5">
        <w:rPr>
          <w:rFonts w:cs="Arial"/>
          <w:b/>
          <w:sz w:val="28"/>
        </w:rPr>
        <w:t xml:space="preserve"> 2025-</w:t>
      </w:r>
      <w:r w:rsidR="00F978A7">
        <w:rPr>
          <w:rFonts w:cs="Arial"/>
          <w:b/>
          <w:sz w:val="28"/>
        </w:rPr>
        <w:t>22</w:t>
      </w:r>
    </w:p>
    <w:p w14:paraId="505BF983" w14:textId="52132EE8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6FAEC444" w14:textId="77777777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7FDB5CF7" w14:textId="622F704E" w:rsidR="00853714" w:rsidRPr="003B6CBD" w:rsidRDefault="00853714" w:rsidP="002A57E5">
      <w:pPr>
        <w:jc w:val="both"/>
        <w:rPr>
          <w:rFonts w:cstheme="minorHAnsi"/>
          <w:b/>
          <w:color w:val="1F4E79"/>
          <w:sz w:val="24"/>
          <w:szCs w:val="24"/>
        </w:rPr>
      </w:pPr>
      <w:r w:rsidRPr="003B6CBD">
        <w:rPr>
          <w:rFonts w:cstheme="minorHAnsi"/>
          <w:b/>
          <w:color w:val="1F4E79"/>
          <w:sz w:val="24"/>
          <w:szCs w:val="24"/>
          <w:u w:val="single"/>
        </w:rPr>
        <w:t>Objet du marché</w:t>
      </w:r>
      <w:r w:rsidRPr="003B6CBD">
        <w:rPr>
          <w:rFonts w:cstheme="minorHAnsi"/>
          <w:b/>
          <w:color w:val="1F4E79"/>
          <w:sz w:val="24"/>
          <w:szCs w:val="24"/>
        </w:rPr>
        <w:t xml:space="preserve"> : </w:t>
      </w:r>
      <w:r w:rsidR="00F978A7">
        <w:rPr>
          <w:rFonts w:cstheme="minorHAnsi"/>
          <w:b/>
          <w:color w:val="1F4E79"/>
          <w:sz w:val="24"/>
          <w:szCs w:val="24"/>
        </w:rPr>
        <w:t>C</w:t>
      </w:r>
      <w:r w:rsidR="00F978A7" w:rsidRPr="00F978A7">
        <w:rPr>
          <w:rFonts w:cstheme="minorHAnsi"/>
          <w:b/>
          <w:color w:val="1F4E79"/>
          <w:sz w:val="24"/>
          <w:szCs w:val="24"/>
        </w:rPr>
        <w:t xml:space="preserve">onception, réalisation et fourniture de </w:t>
      </w:r>
      <w:r w:rsidR="00F978A7">
        <w:rPr>
          <w:rFonts w:cstheme="minorHAnsi"/>
          <w:b/>
          <w:color w:val="1F4E79"/>
          <w:sz w:val="24"/>
          <w:szCs w:val="24"/>
        </w:rPr>
        <w:t xml:space="preserve">5 </w:t>
      </w:r>
      <w:r w:rsidR="00F978A7" w:rsidRPr="00F978A7">
        <w:rPr>
          <w:rFonts w:cstheme="minorHAnsi"/>
          <w:b/>
          <w:color w:val="1F4E79"/>
          <w:sz w:val="24"/>
          <w:szCs w:val="24"/>
        </w:rPr>
        <w:t xml:space="preserve">coffres de toit </w:t>
      </w:r>
      <w:r w:rsidR="009E671E">
        <w:rPr>
          <w:rFonts w:cstheme="minorHAnsi"/>
          <w:b/>
          <w:color w:val="1F4E79"/>
          <w:sz w:val="24"/>
          <w:szCs w:val="24"/>
        </w:rPr>
        <w:t>pour l’instrumentation en robotique mobile terrestre et véhicule</w:t>
      </w:r>
      <w:r w:rsidR="00564E5F">
        <w:rPr>
          <w:rFonts w:cstheme="minorHAnsi"/>
          <w:b/>
          <w:color w:val="1F4E79"/>
          <w:sz w:val="24"/>
          <w:szCs w:val="24"/>
        </w:rPr>
        <w:t>s</w:t>
      </w:r>
      <w:bookmarkStart w:id="1" w:name="_GoBack"/>
      <w:bookmarkEnd w:id="1"/>
      <w:r w:rsidR="009E671E">
        <w:rPr>
          <w:rFonts w:cstheme="minorHAnsi"/>
          <w:b/>
          <w:color w:val="1F4E79"/>
          <w:sz w:val="24"/>
          <w:szCs w:val="24"/>
        </w:rPr>
        <w:t xml:space="preserve"> autonomes</w:t>
      </w:r>
      <w:r w:rsidR="00F978A7">
        <w:rPr>
          <w:rFonts w:cstheme="minorHAnsi"/>
          <w:b/>
          <w:color w:val="1F4E79"/>
          <w:sz w:val="24"/>
          <w:szCs w:val="24"/>
        </w:rPr>
        <w:t xml:space="preserve"> pour le compte de l’Institut Pascal (UMR6602) du CNRS</w:t>
      </w:r>
    </w:p>
    <w:p w14:paraId="21AC99B4" w14:textId="77777777" w:rsidR="00681A29" w:rsidRDefault="00681A29" w:rsidP="003B6CBD">
      <w:pPr>
        <w:spacing w:after="20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14:paraId="25B5A659" w14:textId="07D43F74" w:rsidR="00326634" w:rsidRPr="003B6CBD" w:rsidRDefault="00CE31DC" w:rsidP="00326634">
      <w:pPr>
        <w:shd w:val="clear" w:color="auto" w:fill="0000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6CBD">
        <w:rPr>
          <w:rFonts w:ascii="Verdana" w:eastAsia="Times New Roman" w:hAnsi="Verdana" w:cs="Verdana"/>
          <w:sz w:val="24"/>
          <w:szCs w:val="24"/>
          <w:lang w:eastAsia="zh-CN"/>
        </w:rPr>
        <w:t xml:space="preserve">CADRE DE REPONSE </w:t>
      </w:r>
    </w:p>
    <w:p w14:paraId="44BB5ACE" w14:textId="77777777" w:rsidR="00326634" w:rsidRPr="00326634" w:rsidRDefault="00326634" w:rsidP="003266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1CEE73" w14:textId="559EE6E1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Le présent </w:t>
      </w:r>
      <w:r w:rsidR="00CE31DC" w:rsidRPr="003B6CBD">
        <w:rPr>
          <w:rFonts w:ascii="Arial" w:eastAsia="Times New Roman" w:hAnsi="Arial" w:cs="Arial"/>
          <w:lang w:eastAsia="zh-CN"/>
        </w:rPr>
        <w:t>cadre de réponse</w:t>
      </w:r>
      <w:r w:rsidRPr="003B6CBD">
        <w:rPr>
          <w:rFonts w:ascii="Arial" w:eastAsia="Times New Roman" w:hAnsi="Arial" w:cs="Arial"/>
          <w:lang w:eastAsia="zh-CN"/>
        </w:rPr>
        <w:t xml:space="preserve"> a </w:t>
      </w:r>
      <w:r w:rsidR="00887C1B" w:rsidRPr="003B6CBD">
        <w:rPr>
          <w:rFonts w:ascii="Arial" w:eastAsia="Times New Roman" w:hAnsi="Arial" w:cs="Arial"/>
          <w:lang w:eastAsia="zh-CN"/>
        </w:rPr>
        <w:t xml:space="preserve">principalement </w:t>
      </w:r>
      <w:r w:rsidRPr="003B6CBD">
        <w:rPr>
          <w:rFonts w:ascii="Arial" w:eastAsia="Times New Roman" w:hAnsi="Arial" w:cs="Arial"/>
          <w:lang w:eastAsia="zh-CN"/>
        </w:rPr>
        <w:t xml:space="preserve">pour objet de juger la valeur </w:t>
      </w:r>
      <w:r w:rsidR="00F978A7">
        <w:rPr>
          <w:rFonts w:ascii="Arial" w:eastAsia="Times New Roman" w:hAnsi="Arial" w:cs="Arial"/>
          <w:lang w:eastAsia="zh-CN"/>
        </w:rPr>
        <w:t>de la candidature du</w:t>
      </w:r>
      <w:r w:rsidR="00853714" w:rsidRPr="003B6CBD">
        <w:rPr>
          <w:rFonts w:ascii="Arial" w:eastAsia="Times New Roman" w:hAnsi="Arial" w:cs="Arial"/>
          <w:lang w:eastAsia="zh-CN"/>
        </w:rPr>
        <w:t xml:space="preserve">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20F4B7E7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bCs/>
          <w:iCs/>
          <w:lang w:eastAsia="zh-CN"/>
        </w:rPr>
      </w:pPr>
    </w:p>
    <w:p w14:paraId="3BEF2BC6" w14:textId="184D2A95" w:rsidR="00326634" w:rsidRPr="003B6CBD" w:rsidRDefault="00326634" w:rsidP="00CE31DC">
      <w:pPr>
        <w:pStyle w:val="Sansinterligne"/>
        <w:jc w:val="both"/>
        <w:rPr>
          <w:rFonts w:ascii="Arial" w:hAnsi="Arial" w:cs="Arial"/>
          <w:lang w:eastAsia="zh-CN"/>
        </w:rPr>
      </w:pPr>
      <w:r w:rsidRPr="003B6CBD">
        <w:rPr>
          <w:rFonts w:ascii="Arial" w:hAnsi="Arial" w:cs="Arial"/>
          <w:lang w:eastAsia="zh-CN"/>
        </w:rPr>
        <w:t xml:space="preserve">Les renseignements </w:t>
      </w:r>
      <w:r w:rsidR="00853714" w:rsidRPr="003B6CBD">
        <w:rPr>
          <w:rFonts w:ascii="Arial" w:hAnsi="Arial" w:cs="Arial"/>
          <w:lang w:eastAsia="zh-CN"/>
        </w:rPr>
        <w:t>figurant</w:t>
      </w:r>
      <w:r w:rsidRPr="003B6CBD">
        <w:rPr>
          <w:rFonts w:ascii="Arial" w:hAnsi="Arial" w:cs="Arial"/>
          <w:lang w:eastAsia="zh-CN"/>
        </w:rPr>
        <w:t xml:space="preserve"> dans le </w:t>
      </w:r>
      <w:r w:rsidR="00CE31DC" w:rsidRPr="003B6CBD">
        <w:rPr>
          <w:rFonts w:ascii="Arial" w:hAnsi="Arial" w:cs="Arial"/>
          <w:lang w:eastAsia="zh-CN"/>
        </w:rPr>
        <w:t xml:space="preserve">présent document </w:t>
      </w:r>
      <w:r w:rsidRPr="003B6CBD">
        <w:rPr>
          <w:rFonts w:ascii="Arial" w:hAnsi="Arial" w:cs="Arial"/>
          <w:lang w:eastAsia="zh-CN"/>
        </w:rPr>
        <w:t xml:space="preserve">doivent être liés </w:t>
      </w:r>
      <w:r w:rsidR="00853714" w:rsidRPr="003B6CBD">
        <w:rPr>
          <w:rFonts w:ascii="Arial" w:hAnsi="Arial" w:cs="Arial"/>
          <w:lang w:eastAsia="zh-CN"/>
        </w:rPr>
        <w:t>directement à l’objet du marché</w:t>
      </w:r>
      <w:r w:rsidRPr="003B6CBD">
        <w:rPr>
          <w:rFonts w:ascii="Arial" w:hAnsi="Arial" w:cs="Arial"/>
          <w:lang w:eastAsia="zh-CN"/>
        </w:rPr>
        <w:t xml:space="preserve"> et ne doivent pas être une simple énumération de l’organisation des moyens généraux </w:t>
      </w:r>
      <w:r w:rsidR="00853714" w:rsidRPr="003B6CBD">
        <w:rPr>
          <w:rFonts w:ascii="Arial" w:hAnsi="Arial" w:cs="Arial"/>
          <w:lang w:eastAsia="zh-CN"/>
        </w:rPr>
        <w:t xml:space="preserve">du </w:t>
      </w:r>
      <w:r w:rsidR="0073230B">
        <w:rPr>
          <w:rFonts w:ascii="Arial" w:hAnsi="Arial" w:cs="Arial"/>
          <w:lang w:eastAsia="zh-CN"/>
        </w:rPr>
        <w:t>soumissionnaire</w:t>
      </w:r>
      <w:r w:rsidRPr="003B6CBD">
        <w:rPr>
          <w:rFonts w:ascii="Arial" w:hAnsi="Arial" w:cs="Arial"/>
          <w:lang w:eastAsia="zh-CN"/>
        </w:rPr>
        <w:t>.</w:t>
      </w:r>
    </w:p>
    <w:p w14:paraId="7E27BF27" w14:textId="73D03E04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5DD2963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3B6CBD" w:rsidRDefault="00326634" w:rsidP="00326634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A3DE793" w14:textId="0D6586A3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B6CBD">
        <w:rPr>
          <w:rFonts w:ascii="Arial" w:eastAsia="Times New Roman" w:hAnsi="Arial" w:cs="Arial"/>
          <w:lang w:eastAsia="zh-CN"/>
        </w:rPr>
        <w:t xml:space="preserve">Si le </w:t>
      </w:r>
      <w:r w:rsidR="0073230B">
        <w:rPr>
          <w:rFonts w:ascii="Arial" w:eastAsia="Times New Roman" w:hAnsi="Arial" w:cs="Arial"/>
          <w:lang w:eastAsia="zh-CN"/>
        </w:rPr>
        <w:t>soumissionnaire</w:t>
      </w:r>
      <w:r w:rsidRPr="003B6CBD">
        <w:rPr>
          <w:rFonts w:ascii="Arial" w:eastAsia="Times New Roman" w:hAnsi="Arial" w:cs="Arial"/>
          <w:lang w:eastAsia="zh-CN"/>
        </w:rPr>
        <w:t xml:space="preserve"> le souhaite, des documents complémentaires peuvent être joints</w:t>
      </w:r>
      <w:r w:rsidR="00CE31DC" w:rsidRPr="003B6CBD">
        <w:rPr>
          <w:rFonts w:ascii="Arial" w:eastAsia="Times New Roman" w:hAnsi="Arial" w:cs="Arial"/>
          <w:lang w:eastAsia="zh-CN"/>
        </w:rPr>
        <w:t xml:space="preserve"> (</w:t>
      </w:r>
      <w:r w:rsidR="00853714" w:rsidRPr="003B6CBD">
        <w:rPr>
          <w:rFonts w:ascii="Arial" w:eastAsia="Times New Roman" w:hAnsi="Arial" w:cs="Arial"/>
          <w:lang w:eastAsia="zh-CN"/>
        </w:rPr>
        <w:t>il</w:t>
      </w:r>
      <w:r w:rsidR="00CE31DC" w:rsidRPr="003B6CBD">
        <w:rPr>
          <w:rFonts w:ascii="Arial" w:eastAsia="Times New Roman" w:hAnsi="Arial" w:cs="Arial"/>
          <w:lang w:eastAsia="zh-CN"/>
        </w:rPr>
        <w:t xml:space="preserve"> devra alors </w:t>
      </w:r>
      <w:r w:rsidR="00AF4751" w:rsidRPr="003B6CBD">
        <w:rPr>
          <w:rFonts w:ascii="Arial" w:eastAsia="Times New Roman" w:hAnsi="Arial" w:cs="Arial"/>
          <w:lang w:eastAsia="zh-CN"/>
        </w:rPr>
        <w:t xml:space="preserve">clairement </w:t>
      </w:r>
      <w:r w:rsidR="00CE31DC" w:rsidRPr="003B6CBD">
        <w:rPr>
          <w:rFonts w:ascii="Arial" w:eastAsia="Times New Roman" w:hAnsi="Arial" w:cs="Arial"/>
          <w:lang w:eastAsia="zh-CN"/>
        </w:rPr>
        <w:t xml:space="preserve">indiquer le </w:t>
      </w:r>
      <w:r w:rsidR="00AF4751" w:rsidRPr="003B6CBD">
        <w:rPr>
          <w:rFonts w:ascii="Arial" w:eastAsia="Times New Roman" w:hAnsi="Arial" w:cs="Arial"/>
          <w:lang w:eastAsia="zh-CN"/>
        </w:rPr>
        <w:t xml:space="preserve">document auquel il </w:t>
      </w:r>
      <w:r w:rsidR="00CE31DC" w:rsidRPr="003B6CBD">
        <w:rPr>
          <w:rFonts w:ascii="Arial" w:eastAsia="Times New Roman" w:hAnsi="Arial" w:cs="Arial"/>
          <w:lang w:eastAsia="zh-CN"/>
        </w:rPr>
        <w:t>renvoi</w:t>
      </w:r>
      <w:r w:rsidR="00AF4751" w:rsidRPr="003B6CBD">
        <w:rPr>
          <w:rFonts w:ascii="Arial" w:eastAsia="Times New Roman" w:hAnsi="Arial" w:cs="Arial"/>
          <w:lang w:eastAsia="zh-CN"/>
        </w:rPr>
        <w:t xml:space="preserve">e, </w:t>
      </w:r>
      <w:r w:rsidR="00CE31DC" w:rsidRPr="003B6CBD">
        <w:rPr>
          <w:rFonts w:ascii="Arial" w:eastAsia="Times New Roman" w:hAnsi="Arial" w:cs="Arial"/>
          <w:lang w:eastAsia="zh-CN"/>
        </w:rPr>
        <w:t>avec mention de la page ou du paragraphe exact de la réponse apportée)</w:t>
      </w:r>
      <w:r w:rsidRPr="003B6CBD">
        <w:rPr>
          <w:rFonts w:ascii="Arial" w:eastAsia="Times New Roman" w:hAnsi="Arial" w:cs="Arial"/>
          <w:lang w:eastAsia="zh-CN"/>
        </w:rPr>
        <w:t>.</w:t>
      </w:r>
    </w:p>
    <w:p w14:paraId="3FF8225C" w14:textId="77777777" w:rsidR="00326634" w:rsidRPr="003B6CBD" w:rsidRDefault="00326634" w:rsidP="0032663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B27F92D" w14:textId="77777777" w:rsidR="00F6567D" w:rsidRDefault="00F6567D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7A1DAEB8" w14:textId="421379EC" w:rsidR="00853714" w:rsidRPr="00CE31DC" w:rsidRDefault="00EB0C5D" w:rsidP="00EB0C5D">
      <w:pPr>
        <w:pStyle w:val="Sansinterligne"/>
        <w:jc w:val="both"/>
        <w:rPr>
          <w:rFonts w:ascii="Arial" w:hAnsi="Arial" w:cs="Arial"/>
          <w:b/>
          <w:color w:val="FF0000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 xml:space="preserve">Le présent cadre de réponse 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doit obligatoirement être </w:t>
      </w:r>
      <w:r w:rsidR="00853714">
        <w:rPr>
          <w:rFonts w:ascii="Arial" w:hAnsi="Arial" w:cs="Arial"/>
          <w:b/>
          <w:color w:val="FF0000"/>
          <w:lang w:eastAsia="zh-CN"/>
        </w:rPr>
        <w:t>présent parmi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par le</w:t>
      </w:r>
      <w:r w:rsidR="00853714">
        <w:rPr>
          <w:rFonts w:ascii="Arial" w:hAnsi="Arial" w:cs="Arial"/>
          <w:b/>
          <w:color w:val="FF0000"/>
          <w:lang w:eastAsia="zh-CN"/>
        </w:rPr>
        <w:t xml:space="preserve">s pièces remises dans </w:t>
      </w:r>
      <w:r w:rsidR="00F978A7">
        <w:rPr>
          <w:rFonts w:ascii="Arial" w:hAnsi="Arial" w:cs="Arial"/>
          <w:b/>
          <w:color w:val="FF0000"/>
          <w:lang w:eastAsia="zh-CN"/>
        </w:rPr>
        <w:t>la candidature</w:t>
      </w:r>
      <w:r w:rsidR="00853714">
        <w:rPr>
          <w:rFonts w:ascii="Arial" w:hAnsi="Arial" w:cs="Arial"/>
          <w:b/>
          <w:color w:val="FF0000"/>
          <w:lang w:eastAsia="zh-CN"/>
        </w:rPr>
        <w:t xml:space="preserve"> du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 sous peine </w:t>
      </w:r>
      <w:r w:rsidR="00F978A7">
        <w:rPr>
          <w:rFonts w:ascii="Arial" w:hAnsi="Arial" w:cs="Arial"/>
          <w:b/>
          <w:color w:val="FF0000"/>
          <w:lang w:eastAsia="zh-CN"/>
        </w:rPr>
        <w:t>de rejet de sa candidature</w:t>
      </w:r>
      <w:r w:rsidR="00853714" w:rsidRPr="00CE31DC">
        <w:rPr>
          <w:rFonts w:ascii="Arial" w:hAnsi="Arial" w:cs="Arial"/>
          <w:b/>
          <w:color w:val="FF0000"/>
          <w:lang w:eastAsia="zh-CN"/>
        </w:rPr>
        <w:t xml:space="preserve">. </w:t>
      </w:r>
    </w:p>
    <w:p w14:paraId="73B28244" w14:textId="01CC2CA8" w:rsidR="00FE69A8" w:rsidRDefault="00FE69A8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0D9E26E" w14:textId="00391F04" w:rsidR="00FE69A8" w:rsidRDefault="00F6567D" w:rsidP="00EB0C5D">
      <w:pPr>
        <w:suppressAutoHyphens/>
        <w:spacing w:after="0" w:line="240" w:lineRule="auto"/>
        <w:jc w:val="both"/>
        <w:rPr>
          <w:rFonts w:ascii="Arial" w:hAnsi="Arial" w:cs="Arial"/>
          <w:b/>
          <w:color w:val="FF0000"/>
          <w:lang w:eastAsia="zh-CN"/>
        </w:rPr>
      </w:pPr>
      <w:r>
        <w:rPr>
          <w:rFonts w:ascii="Arial" w:hAnsi="Arial" w:cs="Arial"/>
          <w:b/>
          <w:color w:val="FF0000"/>
          <w:lang w:eastAsia="zh-CN"/>
        </w:rPr>
        <w:t xml:space="preserve">Si </w:t>
      </w:r>
      <w:r w:rsidR="00EB0C5D">
        <w:rPr>
          <w:rFonts w:ascii="Arial" w:hAnsi="Arial" w:cs="Arial"/>
          <w:b/>
          <w:color w:val="FF0000"/>
          <w:lang w:eastAsia="zh-CN"/>
        </w:rPr>
        <w:t>le cadre de réponse est présent mais qu’</w:t>
      </w:r>
      <w:r>
        <w:rPr>
          <w:rFonts w:ascii="Arial" w:hAnsi="Arial" w:cs="Arial"/>
          <w:b/>
          <w:color w:val="FF0000"/>
          <w:lang w:eastAsia="zh-CN"/>
        </w:rPr>
        <w:t>un item n’est pas renseigné</w:t>
      </w:r>
      <w:r w:rsidR="00B02BC7">
        <w:rPr>
          <w:rFonts w:ascii="Arial" w:hAnsi="Arial" w:cs="Arial"/>
          <w:b/>
          <w:color w:val="FF0000"/>
          <w:lang w:eastAsia="zh-CN"/>
        </w:rPr>
        <w:t xml:space="preserve"> et qu’aucun renvoi n’est fait à un document complémentaire</w:t>
      </w:r>
      <w:r>
        <w:rPr>
          <w:rFonts w:ascii="Arial" w:hAnsi="Arial" w:cs="Arial"/>
          <w:b/>
          <w:color w:val="FF0000"/>
          <w:lang w:eastAsia="zh-CN"/>
        </w:rPr>
        <w:t xml:space="preserve">, le </w:t>
      </w:r>
      <w:r w:rsidR="0073230B">
        <w:rPr>
          <w:rFonts w:ascii="Arial" w:hAnsi="Arial" w:cs="Arial"/>
          <w:b/>
          <w:color w:val="FF0000"/>
          <w:lang w:eastAsia="zh-CN"/>
        </w:rPr>
        <w:t>soumissionnaire</w:t>
      </w:r>
      <w:r>
        <w:rPr>
          <w:rFonts w:ascii="Arial" w:hAnsi="Arial" w:cs="Arial"/>
          <w:b/>
          <w:color w:val="FF0000"/>
          <w:lang w:eastAsia="zh-CN"/>
        </w:rPr>
        <w:t xml:space="preserve"> obtiendra la note de zéro à l’item concerné.</w:t>
      </w:r>
    </w:p>
    <w:p w14:paraId="36393BF1" w14:textId="4CBD572E" w:rsidR="002A57E5" w:rsidRDefault="002A57E5" w:rsidP="00EB0C5D">
      <w:pPr>
        <w:suppressAutoHyphens/>
        <w:spacing w:after="0" w:line="240" w:lineRule="auto"/>
        <w:jc w:val="both"/>
        <w:rPr>
          <w:rFonts w:ascii="Century" w:eastAsia="Times New Roman" w:hAnsi="Century" w:cs="Century"/>
          <w:sz w:val="24"/>
          <w:szCs w:val="24"/>
          <w:lang w:eastAsia="zh-CN"/>
        </w:rPr>
      </w:pPr>
    </w:p>
    <w:p w14:paraId="16C65642" w14:textId="2A678C7C" w:rsidR="00F978A7" w:rsidRDefault="00F978A7">
      <w:pPr>
        <w:rPr>
          <w:rFonts w:ascii="Century" w:eastAsia="Times New Roman" w:hAnsi="Century" w:cs="Century"/>
          <w:sz w:val="24"/>
          <w:szCs w:val="24"/>
          <w:lang w:eastAsia="zh-CN"/>
        </w:rPr>
      </w:pPr>
      <w:r>
        <w:rPr>
          <w:rFonts w:ascii="Century" w:eastAsia="Times New Roman" w:hAnsi="Century" w:cs="Century"/>
          <w:sz w:val="24"/>
          <w:szCs w:val="24"/>
          <w:lang w:eastAsia="zh-CN"/>
        </w:rPr>
        <w:br w:type="page"/>
      </w:r>
    </w:p>
    <w:p w14:paraId="115E4789" w14:textId="77777777" w:rsidR="003B6CBD" w:rsidRDefault="003B6CBD" w:rsidP="00F978A7">
      <w:pPr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</w:pPr>
    </w:p>
    <w:p w14:paraId="5CCBC926" w14:textId="64CF5FBA" w:rsidR="00FE69A8" w:rsidRDefault="00FE69A8" w:rsidP="00F978A7">
      <w:pPr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FE69A8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NOM </w:t>
      </w:r>
      <w:r w:rsidR="00D74B25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 xml:space="preserve">DU </w:t>
      </w:r>
      <w:r w:rsidR="0073230B">
        <w:rPr>
          <w:rFonts w:ascii="Arial" w:eastAsia="Times New Roman" w:hAnsi="Arial" w:cs="Arial"/>
          <w:b/>
          <w:bCs/>
          <w:sz w:val="24"/>
          <w:szCs w:val="24"/>
          <w:u w:val="single"/>
          <w:lang w:eastAsia="zh-CN"/>
        </w:rPr>
        <w:t>SOUMISSIONNAIRE</w:t>
      </w:r>
      <w:r w:rsidRPr="00FE69A8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:</w:t>
      </w:r>
      <w:r w:rsidR="002677DF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</w:p>
    <w:p w14:paraId="1DED51E8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Dénomination sociale, numéro Siret et code d’identification APE : </w:t>
      </w:r>
    </w:p>
    <w:p w14:paraId="346BF3C3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</w:p>
    <w:p w14:paraId="2C73563C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Adresse :</w:t>
      </w:r>
    </w:p>
    <w:p w14:paraId="5FBFFFD5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</w:p>
    <w:p w14:paraId="63C66585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Interlocuteur :</w:t>
      </w:r>
    </w:p>
    <w:p w14:paraId="4D3182AC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</w:p>
    <w:p w14:paraId="7F6ED4C6" w14:textId="77777777" w:rsidR="00F978A7" w:rsidRDefault="00F978A7" w:rsidP="00F978A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Domaine de compétences :</w:t>
      </w:r>
    </w:p>
    <w:p w14:paraId="59E5BD65" w14:textId="77777777" w:rsidR="00F978A7" w:rsidRDefault="00F978A7" w:rsidP="00F978A7">
      <w:pPr>
        <w:rPr>
          <w:rFonts w:ascii="Times New Roman" w:hAnsi="Times New Roman" w:cs="Times New Roman"/>
        </w:rPr>
        <w:sectPr w:rsidR="00F978A7">
          <w:foot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4E39066" w14:textId="77777777" w:rsidR="002A57E5" w:rsidRDefault="002A57E5" w:rsidP="002A57E5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</w:p>
    <w:p w14:paraId="3E4A6195" w14:textId="494BDD4C" w:rsidR="005A1C5F" w:rsidRDefault="00F978A7" w:rsidP="005A1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</w:pPr>
      <w:r w:rsidRPr="005A1C5F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Critère n° 1 : Compétences et spécialisation</w:t>
      </w:r>
      <w:r w:rsidR="005A1C5F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s</w:t>
      </w:r>
      <w:r w:rsidRPr="005A1C5F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 xml:space="preserve"> professionnelles et humaines au regard du domaine concerné (qualifications, effectif et répartition de l’effectif</w:t>
      </w:r>
      <w:r w:rsidR="006D6958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…</w:t>
      </w:r>
      <w:proofErr w:type="spellStart"/>
      <w:r w:rsidR="006D6958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etc</w:t>
      </w:r>
      <w:proofErr w:type="spellEnd"/>
      <w:r w:rsidRPr="005A1C5F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)</w:t>
      </w:r>
      <w:r w:rsidR="005A1C5F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 xml:space="preserve"> </w:t>
      </w:r>
    </w:p>
    <w:p w14:paraId="7F534B7D" w14:textId="2AF58827" w:rsidR="003B6CBD" w:rsidRPr="005A1C5F" w:rsidRDefault="005A1C5F" w:rsidP="005A1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32"/>
          <w:szCs w:val="24"/>
          <w:lang w:eastAsia="zh-CN"/>
        </w:rPr>
      </w:pPr>
      <w:r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3</w:t>
      </w:r>
      <w:r w:rsidR="006D6958"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0</w:t>
      </w:r>
      <w:r>
        <w:rPr>
          <w:rFonts w:ascii="Calibri" w:eastAsia="Arial Unicode MS" w:hAnsi="Calibri" w:cs="Arial"/>
          <w:b/>
          <w:color w:val="000000"/>
          <w:sz w:val="28"/>
          <w:szCs w:val="20"/>
          <w:lang w:eastAsia="fr-FR"/>
        </w:rPr>
        <w:t>%</w:t>
      </w:r>
    </w:p>
    <w:p w14:paraId="05B49DB8" w14:textId="0E5C9878" w:rsidR="003B6CBD" w:rsidRP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CF2E5B9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C75E074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9F12764" w14:textId="11980BDF" w:rsidR="008214D0" w:rsidRDefault="008214D0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9BEB29" w14:textId="2A4CC749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E85F297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1D55E51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57B1FAE" w14:textId="5C1F6F3A" w:rsidR="002A57E5" w:rsidRDefault="002A57E5">
      <w:pPr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sz w:val="24"/>
          <w:szCs w:val="24"/>
          <w:lang w:eastAsia="zh-CN"/>
        </w:rPr>
        <w:br w:type="page"/>
      </w:r>
    </w:p>
    <w:p w14:paraId="3CFAE2A1" w14:textId="77777777" w:rsidR="0011506F" w:rsidRDefault="0011506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0DBE7F3" w14:textId="77777777" w:rsidR="005A1C5F" w:rsidRDefault="005A1C5F" w:rsidP="00E04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Critère n° 2 : C</w:t>
      </w:r>
      <w:r w:rsidRPr="005A1C5F">
        <w:rPr>
          <w:rFonts w:eastAsia="Times New Roman" w:cstheme="minorHAnsi"/>
          <w:b/>
          <w:bCs/>
          <w:sz w:val="28"/>
          <w:szCs w:val="28"/>
          <w:lang w:eastAsia="zh-CN"/>
        </w:rPr>
        <w:t xml:space="preserve">apacités techniques </w:t>
      </w:r>
    </w:p>
    <w:p w14:paraId="0B3BA625" w14:textId="5AC76DF4" w:rsidR="00E041B0" w:rsidRDefault="005A1C5F" w:rsidP="00E04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</w:t>
      </w:r>
      <w:r w:rsidRPr="005A1C5F">
        <w:rPr>
          <w:rFonts w:eastAsia="Times New Roman" w:cstheme="minorHAnsi"/>
          <w:b/>
          <w:bCs/>
          <w:sz w:val="28"/>
          <w:szCs w:val="28"/>
          <w:lang w:eastAsia="zh-CN"/>
        </w:rPr>
        <w:t>escription des technologies maîtrisées, de l'outillage, du matériel et de l'équipement technique dont le candidat disposera pour la réalisation du marché public (parc machines, moyen d’études, de fabrication, de contrôle</w:t>
      </w:r>
      <w:r w:rsidR="006D6958">
        <w:rPr>
          <w:rFonts w:eastAsia="Times New Roman" w:cstheme="minorHAnsi"/>
          <w:b/>
          <w:bCs/>
          <w:sz w:val="28"/>
          <w:szCs w:val="28"/>
          <w:lang w:eastAsia="zh-CN"/>
        </w:rPr>
        <w:t>…</w:t>
      </w:r>
      <w:proofErr w:type="spellStart"/>
      <w:r w:rsidR="006D6958">
        <w:rPr>
          <w:rFonts w:eastAsia="Times New Roman" w:cstheme="minorHAnsi"/>
          <w:b/>
          <w:bCs/>
          <w:sz w:val="28"/>
          <w:szCs w:val="28"/>
          <w:lang w:eastAsia="zh-CN"/>
        </w:rPr>
        <w:t>etc</w:t>
      </w:r>
      <w:proofErr w:type="spellEnd"/>
      <w:r w:rsidRPr="005A1C5F">
        <w:rPr>
          <w:rFonts w:eastAsia="Times New Roman" w:cstheme="minorHAnsi"/>
          <w:b/>
          <w:bCs/>
          <w:sz w:val="28"/>
          <w:szCs w:val="28"/>
          <w:lang w:eastAsia="zh-CN"/>
        </w:rPr>
        <w:t>)</w:t>
      </w:r>
    </w:p>
    <w:p w14:paraId="30582877" w14:textId="2E2EBF03" w:rsidR="005A1C5F" w:rsidRPr="00E041B0" w:rsidRDefault="006D6958" w:rsidP="00E04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3</w:t>
      </w:r>
      <w:r w:rsidR="005A1C5F">
        <w:rPr>
          <w:rFonts w:eastAsia="Times New Roman" w:cstheme="minorHAnsi"/>
          <w:b/>
          <w:bCs/>
          <w:sz w:val="28"/>
          <w:szCs w:val="28"/>
          <w:lang w:eastAsia="zh-CN"/>
        </w:rPr>
        <w:t>0%</w:t>
      </w:r>
    </w:p>
    <w:p w14:paraId="691D9F8E" w14:textId="4D1DD6CD" w:rsidR="00E041B0" w:rsidRDefault="00E041B0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140F723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55BE32" w14:textId="77777777" w:rsidR="0011506F" w:rsidRDefault="0011506F" w:rsidP="0011506F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sectPr w:rsidR="0011506F" w:rsidSect="00667299">
      <w:footerReference w:type="even" r:id="rId10"/>
      <w:footerReference w:type="default" r:id="rId11"/>
      <w:footerReference w:type="first" r:id="rId12"/>
      <w:pgSz w:w="11906" w:h="16838"/>
      <w:pgMar w:top="719" w:right="1226" w:bottom="765" w:left="90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B859D" w14:textId="77777777" w:rsidR="00C24471" w:rsidRDefault="00C24471">
      <w:pPr>
        <w:spacing w:after="0" w:line="240" w:lineRule="auto"/>
      </w:pPr>
      <w:r>
        <w:separator/>
      </w:r>
    </w:p>
  </w:endnote>
  <w:endnote w:type="continuationSeparator" w:id="0">
    <w:p w14:paraId="644E2C89" w14:textId="77777777" w:rsidR="00C24471" w:rsidRDefault="00C24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8961589"/>
      <w:docPartObj>
        <w:docPartGallery w:val="Page Numbers (Bottom of Page)"/>
        <w:docPartUnique/>
      </w:docPartObj>
    </w:sdtPr>
    <w:sdtEndPr/>
    <w:sdtContent>
      <w:p w14:paraId="5D9FA322" w14:textId="77777777" w:rsidR="00F978A7" w:rsidRDefault="00F978A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50422837" w14:textId="4470E2C6" w:rsidR="00F978A7" w:rsidRDefault="00F978A7">
    <w:pPr>
      <w:pStyle w:val="Pieddepage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Annexe 1 au RC_ Cadre de présentation des candidatures – n° 2025-22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564E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34DE01EE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BD">
          <w:rPr>
            <w:noProof/>
          </w:rPr>
          <w:t>2</w:t>
        </w:r>
        <w:r>
          <w:fldChar w:fldCharType="end"/>
        </w:r>
      </w:p>
    </w:sdtContent>
  </w:sdt>
  <w:p w14:paraId="63BD5BDC" w14:textId="42086DA4" w:rsidR="00A6033C" w:rsidRPr="00834C96" w:rsidRDefault="00564E5F" w:rsidP="00834C9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564E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E3212" w14:textId="77777777" w:rsidR="00C24471" w:rsidRDefault="00C24471">
      <w:pPr>
        <w:spacing w:after="0" w:line="240" w:lineRule="auto"/>
      </w:pPr>
      <w:r>
        <w:separator/>
      </w:r>
    </w:p>
  </w:footnote>
  <w:footnote w:type="continuationSeparator" w:id="0">
    <w:p w14:paraId="4550E703" w14:textId="77777777" w:rsidR="00C24471" w:rsidRDefault="00C24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350D"/>
    <w:multiLevelType w:val="hybridMultilevel"/>
    <w:tmpl w:val="2BD4EE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BA0E1DF2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85B2C"/>
    <w:multiLevelType w:val="hybridMultilevel"/>
    <w:tmpl w:val="C5CCD2D2"/>
    <w:lvl w:ilvl="0" w:tplc="92A42ED4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Bid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16F5E"/>
    <w:rsid w:val="000565A4"/>
    <w:rsid w:val="000647A0"/>
    <w:rsid w:val="000706E2"/>
    <w:rsid w:val="00086C00"/>
    <w:rsid w:val="0011506F"/>
    <w:rsid w:val="00120A78"/>
    <w:rsid w:val="00137BB8"/>
    <w:rsid w:val="00140C0F"/>
    <w:rsid w:val="0015204D"/>
    <w:rsid w:val="001522F5"/>
    <w:rsid w:val="00164AA2"/>
    <w:rsid w:val="001A7966"/>
    <w:rsid w:val="002064F0"/>
    <w:rsid w:val="00226F52"/>
    <w:rsid w:val="002478E1"/>
    <w:rsid w:val="002677DF"/>
    <w:rsid w:val="0027139C"/>
    <w:rsid w:val="002716D1"/>
    <w:rsid w:val="00274D97"/>
    <w:rsid w:val="00290845"/>
    <w:rsid w:val="002A57E5"/>
    <w:rsid w:val="002D6473"/>
    <w:rsid w:val="002F6F05"/>
    <w:rsid w:val="00326634"/>
    <w:rsid w:val="00334E6C"/>
    <w:rsid w:val="003547F0"/>
    <w:rsid w:val="0035707A"/>
    <w:rsid w:val="00370A2B"/>
    <w:rsid w:val="003778D2"/>
    <w:rsid w:val="00395F4C"/>
    <w:rsid w:val="003A04AC"/>
    <w:rsid w:val="003A09E8"/>
    <w:rsid w:val="003B6CBD"/>
    <w:rsid w:val="003C5FBF"/>
    <w:rsid w:val="003D6FD8"/>
    <w:rsid w:val="003F12F0"/>
    <w:rsid w:val="00452680"/>
    <w:rsid w:val="004619CB"/>
    <w:rsid w:val="00465617"/>
    <w:rsid w:val="00471276"/>
    <w:rsid w:val="00474FA3"/>
    <w:rsid w:val="004D4E8E"/>
    <w:rsid w:val="00521B4C"/>
    <w:rsid w:val="00523899"/>
    <w:rsid w:val="00555091"/>
    <w:rsid w:val="00564E5F"/>
    <w:rsid w:val="005835C6"/>
    <w:rsid w:val="00585679"/>
    <w:rsid w:val="005A1A7B"/>
    <w:rsid w:val="005A1C5F"/>
    <w:rsid w:val="005C6EBE"/>
    <w:rsid w:val="00650804"/>
    <w:rsid w:val="00667299"/>
    <w:rsid w:val="0067284F"/>
    <w:rsid w:val="00681A29"/>
    <w:rsid w:val="00696C2F"/>
    <w:rsid w:val="006B0C9D"/>
    <w:rsid w:val="006C76E4"/>
    <w:rsid w:val="006D684F"/>
    <w:rsid w:val="006D6958"/>
    <w:rsid w:val="006E7B76"/>
    <w:rsid w:val="006F1FFC"/>
    <w:rsid w:val="00702CA4"/>
    <w:rsid w:val="00712985"/>
    <w:rsid w:val="007230C5"/>
    <w:rsid w:val="0073230B"/>
    <w:rsid w:val="007403D7"/>
    <w:rsid w:val="0074070A"/>
    <w:rsid w:val="007450C1"/>
    <w:rsid w:val="007855DD"/>
    <w:rsid w:val="007B07B2"/>
    <w:rsid w:val="007F35ED"/>
    <w:rsid w:val="008214D0"/>
    <w:rsid w:val="008329A9"/>
    <w:rsid w:val="00834C96"/>
    <w:rsid w:val="00853714"/>
    <w:rsid w:val="0085640F"/>
    <w:rsid w:val="00887C1B"/>
    <w:rsid w:val="008B51BA"/>
    <w:rsid w:val="008D2D9D"/>
    <w:rsid w:val="0091329A"/>
    <w:rsid w:val="00915F55"/>
    <w:rsid w:val="00917BDA"/>
    <w:rsid w:val="00926949"/>
    <w:rsid w:val="00934789"/>
    <w:rsid w:val="00962E03"/>
    <w:rsid w:val="00966530"/>
    <w:rsid w:val="00980B87"/>
    <w:rsid w:val="00995306"/>
    <w:rsid w:val="009E1B4B"/>
    <w:rsid w:val="009E671E"/>
    <w:rsid w:val="00A00915"/>
    <w:rsid w:val="00A154CF"/>
    <w:rsid w:val="00A25B76"/>
    <w:rsid w:val="00A507ED"/>
    <w:rsid w:val="00A63C0A"/>
    <w:rsid w:val="00A715A7"/>
    <w:rsid w:val="00AB255A"/>
    <w:rsid w:val="00AB7F15"/>
    <w:rsid w:val="00AC7F9E"/>
    <w:rsid w:val="00AE29D8"/>
    <w:rsid w:val="00AE3FF4"/>
    <w:rsid w:val="00AF27BD"/>
    <w:rsid w:val="00AF4751"/>
    <w:rsid w:val="00B02BC7"/>
    <w:rsid w:val="00B07261"/>
    <w:rsid w:val="00B55515"/>
    <w:rsid w:val="00B779E6"/>
    <w:rsid w:val="00BF0C12"/>
    <w:rsid w:val="00C24471"/>
    <w:rsid w:val="00C62932"/>
    <w:rsid w:val="00C673F5"/>
    <w:rsid w:val="00C72BFD"/>
    <w:rsid w:val="00C96A62"/>
    <w:rsid w:val="00CB1435"/>
    <w:rsid w:val="00CB7BB5"/>
    <w:rsid w:val="00CC1EE5"/>
    <w:rsid w:val="00CC6511"/>
    <w:rsid w:val="00CE31DC"/>
    <w:rsid w:val="00D02241"/>
    <w:rsid w:val="00D103AD"/>
    <w:rsid w:val="00D459F9"/>
    <w:rsid w:val="00D65EC6"/>
    <w:rsid w:val="00D74B25"/>
    <w:rsid w:val="00D76BCD"/>
    <w:rsid w:val="00D845CB"/>
    <w:rsid w:val="00DA4F18"/>
    <w:rsid w:val="00DB2FE1"/>
    <w:rsid w:val="00DB6D88"/>
    <w:rsid w:val="00DB7D92"/>
    <w:rsid w:val="00DD16C3"/>
    <w:rsid w:val="00DE3642"/>
    <w:rsid w:val="00E041B0"/>
    <w:rsid w:val="00E0674C"/>
    <w:rsid w:val="00E1227D"/>
    <w:rsid w:val="00E657C3"/>
    <w:rsid w:val="00E96408"/>
    <w:rsid w:val="00EB0C5D"/>
    <w:rsid w:val="00EB1051"/>
    <w:rsid w:val="00EC0B8A"/>
    <w:rsid w:val="00EC2B14"/>
    <w:rsid w:val="00EC30EE"/>
    <w:rsid w:val="00EC7B09"/>
    <w:rsid w:val="00EC7C36"/>
    <w:rsid w:val="00EE3201"/>
    <w:rsid w:val="00F02DCE"/>
    <w:rsid w:val="00F0569B"/>
    <w:rsid w:val="00F36F65"/>
    <w:rsid w:val="00F37E60"/>
    <w:rsid w:val="00F41D26"/>
    <w:rsid w:val="00F53A8E"/>
    <w:rsid w:val="00F60745"/>
    <w:rsid w:val="00F62C98"/>
    <w:rsid w:val="00F6567D"/>
    <w:rsid w:val="00F65C8D"/>
    <w:rsid w:val="00F978A7"/>
    <w:rsid w:val="00FA5450"/>
    <w:rsid w:val="00FA5C89"/>
    <w:rsid w:val="00FD7D28"/>
    <w:rsid w:val="00FE32E1"/>
    <w:rsid w:val="00FE69A8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1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paragraph" w:styleId="Titre">
    <w:name w:val="Title"/>
    <w:basedOn w:val="Normal"/>
    <w:link w:val="TitreCar"/>
    <w:qFormat/>
    <w:rsid w:val="00667299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667299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285D4-10C1-4D50-992D-B195C46F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BROCHET Adeline</cp:lastModifiedBy>
  <cp:revision>6</cp:revision>
  <cp:lastPrinted>2023-05-25T07:28:00Z</cp:lastPrinted>
  <dcterms:created xsi:type="dcterms:W3CDTF">2025-11-07T09:47:00Z</dcterms:created>
  <dcterms:modified xsi:type="dcterms:W3CDTF">2025-11-14T13:10:00Z</dcterms:modified>
</cp:coreProperties>
</file>